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95" w:rsidRDefault="005D0C95" w:rsidP="005D0C9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0" w:name="_GoBack"/>
      <w:bookmarkEnd w:id="0"/>
    </w:p>
    <w:p w:rsidR="005D0C95" w:rsidRDefault="005D0C95" w:rsidP="005D0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Інформація </w:t>
      </w:r>
    </w:p>
    <w:p w:rsidR="005D0C95" w:rsidRDefault="005D0C95" w:rsidP="005D0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 роботу із зверненнями громадян,</w:t>
      </w:r>
    </w:p>
    <w:p w:rsidR="005D0C95" w:rsidRDefault="005D0C95" w:rsidP="005D0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що надійшли до Кабінету Міністрів України</w:t>
      </w:r>
    </w:p>
    <w:p w:rsidR="005D0C95" w:rsidRDefault="005D0C95" w:rsidP="005D0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у </w:t>
      </w:r>
      <w:r w:rsidRPr="00D611A5">
        <w:rPr>
          <w:rFonts w:ascii="Times New Roman" w:hAnsi="Times New Roman" w:cs="Times New Roman"/>
          <w:b/>
          <w:bCs/>
          <w:sz w:val="26"/>
          <w:szCs w:val="26"/>
        </w:rPr>
        <w:t xml:space="preserve">січні –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червні </w:t>
      </w:r>
      <w:r w:rsidRPr="00D611A5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D611A5">
        <w:rPr>
          <w:rFonts w:ascii="Times New Roman" w:hAnsi="Times New Roman" w:cs="Times New Roman"/>
          <w:b/>
          <w:bCs/>
          <w:sz w:val="26"/>
          <w:szCs w:val="26"/>
        </w:rPr>
        <w:t xml:space="preserve"> року</w:t>
      </w:r>
    </w:p>
    <w:p w:rsidR="005D0C95" w:rsidRDefault="005D0C95" w:rsidP="005D0C9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Впродовж січня – червня п. р. до Кабінету Міністрів України надійшло </w:t>
      </w:r>
      <w:r>
        <w:rPr>
          <w:rFonts w:ascii="Times New Roman" w:hAnsi="Times New Roman" w:cs="Times New Roman"/>
          <w:b/>
          <w:bCs/>
          <w:sz w:val="26"/>
          <w:szCs w:val="26"/>
        </w:rPr>
        <w:t>15 339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індивідуальних та колективних звернень </w:t>
      </w:r>
      <w:r>
        <w:rPr>
          <w:rFonts w:ascii="Times New Roman" w:hAnsi="Times New Roman" w:cs="Times New Roman"/>
          <w:sz w:val="26"/>
          <w:szCs w:val="26"/>
        </w:rPr>
        <w:t>від 177 604 громадян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 усіх регіонів України, що в 1,3 рази більше, ніж за відповідний період попереднього року. </w:t>
      </w:r>
    </w:p>
    <w:p w:rsidR="005D0C95" w:rsidRDefault="005D0C95" w:rsidP="005D0C9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67D0">
        <w:rPr>
          <w:rFonts w:ascii="Times New Roman" w:hAnsi="Times New Roman" w:cs="Times New Roman"/>
          <w:sz w:val="26"/>
          <w:szCs w:val="26"/>
        </w:rPr>
        <w:t>Най</w:t>
      </w:r>
      <w:r>
        <w:rPr>
          <w:rFonts w:ascii="Times New Roman" w:hAnsi="Times New Roman" w:cs="Times New Roman"/>
          <w:sz w:val="26"/>
          <w:szCs w:val="26"/>
        </w:rPr>
        <w:t>більше звернень до Кабінету Міністрів України надійшло від жителів</w:t>
      </w:r>
      <w:r>
        <w:rPr>
          <w:rFonts w:ascii="Times New Roman" w:hAnsi="Times New Roman" w:cs="Times New Roman"/>
          <w:sz w:val="26"/>
          <w:szCs w:val="26"/>
        </w:rPr>
        <w:br/>
        <w:t>м. Києва, Харківської та Одеської областей, найменше – з Автономної Республіки Крим, Луганської та Херсонської областей.</w:t>
      </w:r>
    </w:p>
    <w:p w:rsidR="005D0C95" w:rsidRDefault="00945B84" w:rsidP="005D0C95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945B8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762750" cy="4368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95" w:rsidRDefault="005D0C95" w:rsidP="005D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0C95" w:rsidRDefault="005D0C95" w:rsidP="005D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72F7">
        <w:rPr>
          <w:rFonts w:ascii="Times New Roman" w:hAnsi="Times New Roman" w:cs="Times New Roman"/>
          <w:sz w:val="26"/>
          <w:szCs w:val="26"/>
        </w:rPr>
        <w:t>Серед актуальних</w:t>
      </w:r>
      <w:r>
        <w:rPr>
          <w:rFonts w:ascii="Times New Roman" w:hAnsi="Times New Roman" w:cs="Times New Roman"/>
          <w:sz w:val="26"/>
          <w:szCs w:val="26"/>
        </w:rPr>
        <w:t xml:space="preserve"> питань, що порушували громадяни у зверненнях до Прем’єр-міністра України та Уряду впродовж першого півріччя 2025 року:</w:t>
      </w:r>
    </w:p>
    <w:p w:rsidR="005D0C95" w:rsidRPr="00A618CC" w:rsidRDefault="005D0C95" w:rsidP="005D0C9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18CC">
        <w:rPr>
          <w:rFonts w:ascii="Times New Roman" w:hAnsi="Times New Roman" w:cs="Times New Roman"/>
          <w:sz w:val="26"/>
          <w:szCs w:val="26"/>
        </w:rPr>
        <w:t>забезпечення дотримання законності та охорони правопорядку, реалізації прав і свобод громадян, запобігання дискримінації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18CC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27,3 відсотка</w:t>
      </w:r>
      <w:r w:rsidRPr="00A618CC">
        <w:rPr>
          <w:rFonts w:ascii="Times New Roman" w:hAnsi="Times New Roman" w:cs="Times New Roman"/>
          <w:sz w:val="26"/>
          <w:szCs w:val="26"/>
        </w:rPr>
        <w:t>;</w:t>
      </w:r>
    </w:p>
    <w:p w:rsidR="005D0C95" w:rsidRDefault="005D0C95" w:rsidP="005D0C9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18CC">
        <w:rPr>
          <w:rFonts w:ascii="Times New Roman" w:hAnsi="Times New Roman" w:cs="Times New Roman"/>
          <w:sz w:val="26"/>
          <w:szCs w:val="26"/>
        </w:rPr>
        <w:t>діяльності центр</w:t>
      </w:r>
      <w:r>
        <w:rPr>
          <w:rFonts w:ascii="Times New Roman" w:hAnsi="Times New Roman" w:cs="Times New Roman"/>
          <w:sz w:val="26"/>
          <w:szCs w:val="26"/>
        </w:rPr>
        <w:t>альних органів виконавчої влади</w:t>
      </w:r>
      <w:r w:rsidRPr="00A618CC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24,5 </w:t>
      </w:r>
      <w:r w:rsidRPr="00A618CC">
        <w:rPr>
          <w:rFonts w:ascii="Times New Roman" w:hAnsi="Times New Roman" w:cs="Times New Roman"/>
          <w:sz w:val="26"/>
          <w:szCs w:val="26"/>
        </w:rPr>
        <w:t>відсотка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D0C95" w:rsidRDefault="005D0C95" w:rsidP="005D0C9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18CC">
        <w:rPr>
          <w:rFonts w:ascii="Times New Roman" w:hAnsi="Times New Roman" w:cs="Times New Roman"/>
          <w:sz w:val="26"/>
          <w:szCs w:val="26"/>
        </w:rPr>
        <w:t>соціальної політики, соціального захисту населення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18CC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9,3 відсотка</w:t>
      </w:r>
      <w:r w:rsidRPr="00A618CC">
        <w:rPr>
          <w:rFonts w:ascii="Times New Roman" w:hAnsi="Times New Roman" w:cs="Times New Roman"/>
          <w:sz w:val="26"/>
          <w:szCs w:val="26"/>
        </w:rPr>
        <w:t>;</w:t>
      </w:r>
    </w:p>
    <w:p w:rsidR="005D0C95" w:rsidRPr="006552DA" w:rsidRDefault="005D0C95" w:rsidP="005D0C9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діяльності місцевих органів виконавчої влади – 8,1 відсотка;</w:t>
      </w:r>
    </w:p>
    <w:p w:rsidR="005D0C95" w:rsidRDefault="005D0C95" w:rsidP="005D0C9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обороноздатності, суверенітету, міждержавних та міжнаціональних відносин – 7 відсотків.</w:t>
      </w:r>
    </w:p>
    <w:p w:rsidR="005D0C95" w:rsidRDefault="005D0C95" w:rsidP="005D0C95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5D0C95" w:rsidRPr="00A618CC" w:rsidRDefault="00945B84" w:rsidP="005D0C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2E5CAC">
        <w:rPr>
          <w:noProof/>
        </w:rPr>
        <w:lastRenderedPageBreak/>
        <w:drawing>
          <wp:inline distT="0" distB="0" distL="0" distR="0">
            <wp:extent cx="6491605" cy="4311650"/>
            <wp:effectExtent l="0" t="0" r="0" b="0"/>
            <wp:docPr id="2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0C95" w:rsidRDefault="005D0C95" w:rsidP="005D0C95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5D0C95" w:rsidRPr="00E27918" w:rsidRDefault="005D0C95" w:rsidP="005D0C95">
      <w:pPr>
        <w:spacing w:after="0" w:line="240" w:lineRule="auto"/>
        <w:ind w:left="-5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918">
        <w:rPr>
          <w:rFonts w:ascii="Times New Roman" w:hAnsi="Times New Roman" w:cs="Times New Roman"/>
          <w:sz w:val="26"/>
          <w:szCs w:val="26"/>
        </w:rPr>
        <w:t xml:space="preserve">Продовжує свою роботу </w:t>
      </w:r>
      <w:r w:rsidRPr="00E27918">
        <w:rPr>
          <w:rFonts w:ascii="Times New Roman" w:hAnsi="Times New Roman" w:cs="Times New Roman"/>
          <w:b/>
          <w:sz w:val="26"/>
          <w:szCs w:val="26"/>
        </w:rPr>
        <w:t>сайт «Електронні петиції»</w:t>
      </w:r>
      <w:r w:rsidRPr="00E27918">
        <w:rPr>
          <w:rFonts w:ascii="Times New Roman" w:hAnsi="Times New Roman" w:cs="Times New Roman"/>
          <w:sz w:val="26"/>
          <w:szCs w:val="26"/>
        </w:rPr>
        <w:t xml:space="preserve"> Урядового порталу, на який впродовж звітного періоду надійшло </w:t>
      </w:r>
      <w:r>
        <w:rPr>
          <w:rFonts w:ascii="Times New Roman" w:hAnsi="Times New Roman" w:cs="Times New Roman"/>
          <w:b/>
          <w:sz w:val="26"/>
          <w:szCs w:val="26"/>
        </w:rPr>
        <w:t>679</w:t>
      </w:r>
      <w:r w:rsidRPr="00E27918">
        <w:rPr>
          <w:rFonts w:ascii="Times New Roman" w:hAnsi="Times New Roman" w:cs="Times New Roman"/>
          <w:b/>
          <w:sz w:val="26"/>
          <w:szCs w:val="26"/>
        </w:rPr>
        <w:t xml:space="preserve"> електронн</w:t>
      </w:r>
      <w:r>
        <w:rPr>
          <w:rFonts w:ascii="Times New Roman" w:hAnsi="Times New Roman" w:cs="Times New Roman"/>
          <w:b/>
          <w:sz w:val="26"/>
          <w:szCs w:val="26"/>
        </w:rPr>
        <w:t xml:space="preserve">их </w:t>
      </w:r>
      <w:r w:rsidRPr="00E27918">
        <w:rPr>
          <w:rFonts w:ascii="Times New Roman" w:hAnsi="Times New Roman" w:cs="Times New Roman"/>
          <w:b/>
          <w:sz w:val="26"/>
          <w:szCs w:val="26"/>
        </w:rPr>
        <w:t>петиці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E27918">
        <w:rPr>
          <w:rFonts w:ascii="Times New Roman" w:hAnsi="Times New Roman" w:cs="Times New Roman"/>
          <w:sz w:val="26"/>
          <w:szCs w:val="26"/>
        </w:rPr>
        <w:t xml:space="preserve"> від громадян до Кабінету Міністрів України. </w:t>
      </w:r>
    </w:p>
    <w:p w:rsidR="005D0C95" w:rsidRPr="00E27918" w:rsidRDefault="005D0C95" w:rsidP="005D0C95">
      <w:pPr>
        <w:spacing w:after="0" w:line="240" w:lineRule="auto"/>
        <w:ind w:left="-5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27918">
        <w:rPr>
          <w:rFonts w:ascii="Times New Roman" w:hAnsi="Times New Roman" w:cs="Times New Roman"/>
          <w:sz w:val="26"/>
          <w:szCs w:val="26"/>
        </w:rPr>
        <w:t xml:space="preserve">ідповіді </w:t>
      </w:r>
      <w:r>
        <w:rPr>
          <w:rFonts w:ascii="Times New Roman" w:hAnsi="Times New Roman" w:cs="Times New Roman"/>
          <w:sz w:val="26"/>
          <w:szCs w:val="26"/>
        </w:rPr>
        <w:t xml:space="preserve">за підписом </w:t>
      </w:r>
      <w:r w:rsidRPr="00E27918">
        <w:rPr>
          <w:rFonts w:ascii="Times New Roman" w:hAnsi="Times New Roman" w:cs="Times New Roman"/>
          <w:sz w:val="26"/>
          <w:szCs w:val="26"/>
        </w:rPr>
        <w:t xml:space="preserve">Прем’єр-міністра України </w:t>
      </w:r>
      <w:r>
        <w:rPr>
          <w:rFonts w:ascii="Times New Roman" w:hAnsi="Times New Roman" w:cs="Times New Roman"/>
          <w:sz w:val="26"/>
          <w:szCs w:val="26"/>
        </w:rPr>
        <w:t xml:space="preserve">на 10 </w:t>
      </w:r>
      <w:r w:rsidRPr="00E27918">
        <w:rPr>
          <w:rFonts w:ascii="Times New Roman" w:hAnsi="Times New Roman" w:cs="Times New Roman"/>
          <w:sz w:val="26"/>
          <w:szCs w:val="26"/>
        </w:rPr>
        <w:t>електронних петицій</w:t>
      </w:r>
      <w:r>
        <w:rPr>
          <w:rFonts w:ascii="Times New Roman" w:hAnsi="Times New Roman" w:cs="Times New Roman"/>
          <w:sz w:val="26"/>
          <w:szCs w:val="26"/>
        </w:rPr>
        <w:t>, які набрали</w:t>
      </w:r>
      <w:r w:rsidRPr="00E27918">
        <w:rPr>
          <w:rFonts w:ascii="Times New Roman" w:hAnsi="Times New Roman" w:cs="Times New Roman"/>
          <w:sz w:val="26"/>
          <w:szCs w:val="26"/>
        </w:rPr>
        <w:t xml:space="preserve"> необхідну кількість підписів громадян на їх підтримку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27918">
        <w:rPr>
          <w:rFonts w:ascii="Times New Roman" w:hAnsi="Times New Roman" w:cs="Times New Roman"/>
          <w:sz w:val="26"/>
          <w:szCs w:val="26"/>
        </w:rPr>
        <w:t>оприлюднено на Урядовому порталі.</w:t>
      </w:r>
    </w:p>
    <w:p w:rsidR="005D0C95" w:rsidRPr="000C04E1" w:rsidRDefault="005D0C95" w:rsidP="005D0C9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C04E1">
        <w:rPr>
          <w:rFonts w:ascii="Times New Roman" w:hAnsi="Times New Roman" w:cs="Times New Roman"/>
          <w:bCs/>
          <w:iCs/>
          <w:sz w:val="26"/>
          <w:szCs w:val="26"/>
        </w:rPr>
        <w:t>У зв’язку з введенням в Україні воєнного стану, тимчасово припинено особистий прийом громадян у приймальні Кабінету Міністрів України до дня припинення чи скасування воєнного стану.</w:t>
      </w:r>
    </w:p>
    <w:p w:rsidR="005D0C95" w:rsidRPr="000C04E1" w:rsidRDefault="005D0C95" w:rsidP="005D0C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C04E1">
        <w:rPr>
          <w:rFonts w:ascii="Times New Roman" w:hAnsi="Times New Roman" w:cs="Times New Roman"/>
          <w:bCs/>
          <w:iCs/>
          <w:sz w:val="26"/>
          <w:szCs w:val="26"/>
        </w:rPr>
        <w:t xml:space="preserve">Водночас, для подання письмових звернень громадянами, які особисто звертаються до Уряду, поруч зі входом до приймальні Кабінету Міністрів встановлено скриньку для листів. За потреби працівниками Управління з питань роботи із зверненнями громадян надаються індивідуальні поради та консультації. </w:t>
      </w:r>
    </w:p>
    <w:p w:rsidR="005D0C95" w:rsidRPr="000C04E1" w:rsidRDefault="005D0C95" w:rsidP="005D0C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C04E1">
        <w:rPr>
          <w:rFonts w:ascii="Times New Roman" w:hAnsi="Times New Roman" w:cs="Times New Roman"/>
          <w:bCs/>
          <w:iCs/>
          <w:sz w:val="26"/>
          <w:szCs w:val="26"/>
        </w:rPr>
        <w:t>Громадяни можуть звернутись до працівників приймальні за телефоном</w:t>
      </w:r>
    </w:p>
    <w:p w:rsidR="005D0C95" w:rsidRDefault="005D0C95" w:rsidP="005D0C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C04E1">
        <w:rPr>
          <w:rFonts w:ascii="Times New Roman" w:hAnsi="Times New Roman" w:cs="Times New Roman"/>
          <w:bCs/>
          <w:iCs/>
          <w:sz w:val="26"/>
          <w:szCs w:val="26"/>
        </w:rPr>
        <w:t>(044) 256-72-08.</w:t>
      </w:r>
    </w:p>
    <w:p w:rsidR="005D0C95" w:rsidRPr="00F97551" w:rsidRDefault="005D0C95" w:rsidP="005D0C9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551">
        <w:rPr>
          <w:rFonts w:ascii="Times New Roman" w:hAnsi="Times New Roman" w:cs="Times New Roman"/>
          <w:sz w:val="26"/>
          <w:szCs w:val="26"/>
        </w:rPr>
        <w:t xml:space="preserve">За даними, поданими центральними та місцевими органами виконавчої влади, </w:t>
      </w:r>
      <w:r w:rsidRPr="00F97551">
        <w:rPr>
          <w:rFonts w:ascii="Times New Roman" w:hAnsi="Times New Roman" w:cs="Times New Roman"/>
          <w:b/>
          <w:bCs/>
          <w:sz w:val="26"/>
          <w:szCs w:val="26"/>
        </w:rPr>
        <w:t xml:space="preserve">до органів виконавчої влади </w:t>
      </w:r>
      <w:r w:rsidRPr="00F97551">
        <w:rPr>
          <w:rFonts w:ascii="Times New Roman" w:hAnsi="Times New Roman" w:cs="Times New Roman"/>
          <w:sz w:val="26"/>
          <w:szCs w:val="26"/>
        </w:rPr>
        <w:t xml:space="preserve">впродовж першого півріччя 2025 року </w:t>
      </w:r>
      <w:r w:rsidRPr="00F97551">
        <w:rPr>
          <w:rFonts w:ascii="Times New Roman" w:hAnsi="Times New Roman" w:cs="Times New Roman"/>
          <w:b/>
          <w:bCs/>
          <w:sz w:val="26"/>
          <w:szCs w:val="26"/>
        </w:rPr>
        <w:t>надійшло 399 858 звернень</w:t>
      </w:r>
      <w:r w:rsidRPr="00F97551">
        <w:rPr>
          <w:rFonts w:ascii="Times New Roman" w:hAnsi="Times New Roman" w:cs="Times New Roman"/>
          <w:sz w:val="26"/>
          <w:szCs w:val="26"/>
        </w:rPr>
        <w:t xml:space="preserve"> від 776 тис. громадян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975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C95" w:rsidRDefault="005D0C95" w:rsidP="005D0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0C95" w:rsidRDefault="005D0C95" w:rsidP="005D0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Управління з питань роботи із зверненнями громадян</w:t>
      </w:r>
    </w:p>
    <w:p w:rsidR="005D0C95" w:rsidRDefault="005D0C95" w:rsidP="005D0C95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Секретаріату Кабінету Міністрів України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94960" w:rsidRDefault="00294960"/>
    <w:sectPr w:rsidR="002949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6678C"/>
    <w:multiLevelType w:val="hybridMultilevel"/>
    <w:tmpl w:val="55FE7A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95"/>
    <w:rsid w:val="000C04E1"/>
    <w:rsid w:val="00294960"/>
    <w:rsid w:val="002E5CAC"/>
    <w:rsid w:val="004435D5"/>
    <w:rsid w:val="004567D0"/>
    <w:rsid w:val="005D0C95"/>
    <w:rsid w:val="006552DA"/>
    <w:rsid w:val="00945B84"/>
    <w:rsid w:val="00985CCD"/>
    <w:rsid w:val="00A618CC"/>
    <w:rsid w:val="00AE5CD1"/>
    <w:rsid w:val="00C41E06"/>
    <w:rsid w:val="00CF72F7"/>
    <w:rsid w:val="00D611A5"/>
    <w:rsid w:val="00E27918"/>
    <w:rsid w:val="00F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E6EB20-DDD6-4545-B87B-CEA452E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95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&#1082;&#1086;&#1088;&#1080;&#1089;&#1085;&#1077;\&#1079;&#1074;&#1110;&#1090;%20&#1079;&#1074;&#1077;&#1088;&#1085;&#1077;&#1085;&#1085;&#1103;\2025\&#1030;%20&#1082;&#1074;%202025\&#1086;&#1089;&#1085;&#1086;&#1074;&#1085;&#1110;-&#1087;&#1080;&#1090;&#1072;&#1085;&#1085;&#1103;-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sz="1100" baseline="0">
                <a:solidFill>
                  <a:sysClr val="windowText" lastClr="000000"/>
                </a:solidFill>
              </a:rPr>
              <a:t>Основні питання, що порушували громадяни у зверненнях до </a:t>
            </a:r>
          </a:p>
          <a:p>
            <a:pPr>
              <a:defRPr sz="1200">
                <a:solidFill>
                  <a:sysClr val="windowText" lastClr="000000"/>
                </a:solidFill>
              </a:defRPr>
            </a:pPr>
            <a:r>
              <a:rPr lang="uk-UA" sz="1100" baseline="0">
                <a:solidFill>
                  <a:sysClr val="windowText" lastClr="000000"/>
                </a:solidFill>
              </a:rPr>
              <a:t>Уряду у січні-червні 2025 року</a:t>
            </a:r>
          </a:p>
        </c:rich>
      </c:tx>
      <c:layout>
        <c:manualLayout>
          <c:xMode val="edge"/>
          <c:yMode val="edge"/>
          <c:x val="0.154462667601554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hPercent val="140"/>
      <c:rotY val="330"/>
      <c:depthPercent val="30"/>
      <c:rAngAx val="0"/>
      <c:perspective val="7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81652817962665E-5"/>
          <c:y val="0.10113099498926273"/>
          <c:w val="0.96985092830642838"/>
          <c:h val="0.8988357646516755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prstMaterial="dkEdge"/>
          </c:spPr>
          <c:dPt>
            <c:idx val="0"/>
            <c:bubble3D val="0"/>
            <c:spPr>
              <a:solidFill>
                <a:srgbClr val="0066F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01-B5A0-4258-B422-5F71953E548E}"/>
              </c:ext>
            </c:extLst>
          </c:dPt>
          <c:dPt>
            <c:idx val="1"/>
            <c:bubble3D val="0"/>
            <c:spPr>
              <a:solidFill>
                <a:srgbClr val="025E0B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03-B5A0-4258-B422-5F71953E548E}"/>
              </c:ext>
            </c:extLst>
          </c:dPt>
          <c:dPt>
            <c:idx val="2"/>
            <c:bubble3D val="0"/>
            <c:spPr>
              <a:solidFill>
                <a:srgbClr val="FA90E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05-B5A0-4258-B422-5F71953E548E}"/>
              </c:ext>
            </c:extLst>
          </c:dPt>
          <c:dPt>
            <c:idx val="3"/>
            <c:bubble3D val="0"/>
            <c:spPr>
              <a:solidFill>
                <a:srgbClr val="FF33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07-B5A0-4258-B422-5F71953E548E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09-B5A0-4258-B422-5F71953E548E}"/>
              </c:ext>
            </c:extLst>
          </c:dPt>
          <c:dPt>
            <c:idx val="5"/>
            <c:bubble3D val="0"/>
            <c:spPr>
              <a:solidFill>
                <a:srgbClr val="FF006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0B-B5A0-4258-B422-5F71953E548E}"/>
              </c:ext>
            </c:extLst>
          </c:dPt>
          <c:dPt>
            <c:idx val="6"/>
            <c:bubble3D val="0"/>
            <c:spPr>
              <a:solidFill>
                <a:srgbClr val="9BFF37">
                  <a:alpha val="92941"/>
                </a:srgb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>
                <a:bevelT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D-B5A0-4258-B422-5F71953E548E}"/>
              </c:ext>
            </c:extLst>
          </c:dPt>
          <c:dPt>
            <c:idx val="7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0F-B5A0-4258-B422-5F71953E548E}"/>
              </c:ext>
            </c:extLst>
          </c:dPt>
          <c:dPt>
            <c:idx val="8"/>
            <c:bubble3D val="0"/>
            <c:spPr>
              <a:solidFill>
                <a:srgbClr val="C111F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11-B5A0-4258-B422-5F71953E548E}"/>
              </c:ext>
            </c:extLst>
          </c:dPt>
          <c:dPt>
            <c:idx val="9"/>
            <c:bubble3D val="0"/>
            <c:spPr>
              <a:solidFill>
                <a:srgbClr val="00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dkEdge"/>
            </c:spPr>
            <c:extLst>
              <c:ext xmlns:c16="http://schemas.microsoft.com/office/drawing/2014/chart" uri="{C3380CC4-5D6E-409C-BE32-E72D297353CC}">
                <c16:uniqueId val="{00000013-B5A0-4258-B422-5F71953E548E}"/>
              </c:ext>
            </c:extLst>
          </c:dPt>
          <c:dLbls>
            <c:dLbl>
              <c:idx val="0"/>
              <c:layout>
                <c:manualLayout>
                  <c:x val="0.1728883146403101"/>
                  <c:y val="9.12261464151958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A0-4258-B422-5F71953E548E}"/>
                </c:ext>
              </c:extLst>
            </c:dLbl>
            <c:dLbl>
              <c:idx val="1"/>
              <c:layout>
                <c:manualLayout>
                  <c:x val="0"/>
                  <c:y val="-2.116444556751918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A0-4258-B422-5F71953E548E}"/>
                </c:ext>
              </c:extLst>
            </c:dLbl>
            <c:dLbl>
              <c:idx val="2"/>
              <c:layout>
                <c:manualLayout>
                  <c:x val="3.891285298705939E-2"/>
                  <c:y val="-6.58001346916870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423081166617888"/>
                      <c:h val="8.37315475842199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5A0-4258-B422-5F71953E548E}"/>
                </c:ext>
              </c:extLst>
            </c:dLbl>
            <c:dLbl>
              <c:idx val="3"/>
              <c:layout>
                <c:manualLayout>
                  <c:x val="7.622777961352579E-3"/>
                  <c:y val="-1.45405178584651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A0-4258-B422-5F71953E548E}"/>
                </c:ext>
              </c:extLst>
            </c:dLbl>
            <c:dLbl>
              <c:idx val="4"/>
              <c:layout>
                <c:manualLayout>
                  <c:x val="3.9147261310780904E-2"/>
                  <c:y val="-8.5359492270624948E-3"/>
                </c:manualLayout>
              </c:layout>
              <c:spPr>
                <a:solidFill>
                  <a:sysClr val="windowText" lastClr="000000">
                    <a:lumMod val="75000"/>
                    <a:lumOff val="25000"/>
                    <a:alpha val="4000"/>
                  </a:sysClr>
                </a:solidFill>
                <a:ln>
                  <a:solidFill>
                    <a:schemeClr val="accent1">
                      <a:alpha val="0"/>
                    </a:scheme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09303288976225"/>
                      <c:h val="0.136026317040121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B5A0-4258-B422-5F71953E548E}"/>
                </c:ext>
              </c:extLst>
            </c:dLbl>
            <c:dLbl>
              <c:idx val="5"/>
              <c:layout>
                <c:manualLayout>
                  <c:x val="-9.9518057260249079E-2"/>
                  <c:y val="-6.71333737485670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34066187936776"/>
                      <c:h val="0.104322891393245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B5A0-4258-B422-5F71953E548E}"/>
                </c:ext>
              </c:extLst>
            </c:dLbl>
            <c:dLbl>
              <c:idx val="6"/>
              <c:layout>
                <c:manualLayout>
                  <c:x val="-3.2735905769932447E-2"/>
                  <c:y val="-0.1116223244648929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5A0-4258-B422-5F71953E548E}"/>
                </c:ext>
              </c:extLst>
            </c:dLbl>
            <c:dLbl>
              <c:idx val="7"/>
              <c:layout>
                <c:manualLayout>
                  <c:x val="1.5064204993935658E-3"/>
                  <c:y val="-0.1514680829626404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A0-4258-B422-5F71953E548E}"/>
                </c:ext>
              </c:extLst>
            </c:dLbl>
            <c:dLbl>
              <c:idx val="8"/>
              <c:layout>
                <c:manualLayout>
                  <c:x val="3.9348587056095882E-2"/>
                  <c:y val="-9.799603419478529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5A0-4258-B422-5F71953E548E}"/>
                </c:ext>
              </c:extLst>
            </c:dLbl>
            <c:dLbl>
              <c:idx val="9"/>
              <c:layout>
                <c:manualLayout>
                  <c:x val="-1.2448460937805148E-2"/>
                  <c:y val="-5.08796981801632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5A0-4258-B422-5F71953E548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'дані для діаграми'!$G$1:$G$10</c:f>
              <c:strCache>
                <c:ptCount val="10"/>
                <c:pt idx="0">
                  <c:v>Забезпечення дотримання законності та охорони правопорядку, реалізація прав і свобод громадян, запобігання дискримінації</c:v>
                </c:pt>
                <c:pt idx="1">
                  <c:v>Соціальна політика. Соціальний захист населення</c:v>
                </c:pt>
                <c:pt idx="2">
                  <c:v>Фінансова, податкова, митна політика</c:v>
                </c:pt>
                <c:pt idx="3">
                  <c:v>Комунальне господарство</c:v>
                </c:pt>
                <c:pt idx="4">
                  <c:v>Обороноздатність, суверенітет, міждержавні і міжнаціональні відносини</c:v>
                </c:pt>
                <c:pt idx="5">
                  <c:v>Діяльність центральних органів виконавчої влади </c:v>
                </c:pt>
                <c:pt idx="6">
                  <c:v>Охорона здоров'я</c:v>
                </c:pt>
                <c:pt idx="7">
                  <c:v>Діяльність місцевих органів виконавчої влади</c:v>
                </c:pt>
                <c:pt idx="8">
                  <c:v>Праця і заробітна плата</c:v>
                </c:pt>
                <c:pt idx="9">
                  <c:v>Інші питання</c:v>
                </c:pt>
              </c:strCache>
            </c:strRef>
          </c:cat>
          <c:val>
            <c:numRef>
              <c:f>'дані для діаграми'!$H$1:$H$10</c:f>
              <c:numCache>
                <c:formatCode>General</c:formatCode>
                <c:ptCount val="10"/>
                <c:pt idx="0">
                  <c:v>4191</c:v>
                </c:pt>
                <c:pt idx="1">
                  <c:v>1421</c:v>
                </c:pt>
                <c:pt idx="2">
                  <c:v>206</c:v>
                </c:pt>
                <c:pt idx="3">
                  <c:v>1041</c:v>
                </c:pt>
                <c:pt idx="4">
                  <c:v>999</c:v>
                </c:pt>
                <c:pt idx="5">
                  <c:v>3751</c:v>
                </c:pt>
                <c:pt idx="6">
                  <c:v>232</c:v>
                </c:pt>
                <c:pt idx="7">
                  <c:v>1246</c:v>
                </c:pt>
                <c:pt idx="8">
                  <c:v>227</c:v>
                </c:pt>
                <c:pt idx="9">
                  <c:v>2025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5A0-4258-B422-5F71953E54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  <a:tileRect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  <a:tileRect/>
      </a:gradFill>
    </a:fillStyleLst>
    <a:lnStyleLst>
      <a:ln w="9525" cmpd="sng" algn="ctr">
        <a:solidFill>
          <a:schemeClr val="phClr">
            <a:shade val="95000"/>
            <a:satMod val="105000"/>
          </a:schemeClr>
        </a:solidFill>
        <a:prstDash val="solid"/>
      </a:ln>
      <a:ln w="25400" cmpd="sng" algn="ctr">
        <a:solidFill>
          <a:schemeClr val="phClr"/>
        </a:solidFill>
        <a:prstDash val="solid"/>
      </a:ln>
      <a:ln w="38100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  <a:tileRect/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  <a:tileRect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 Марина Володимирівна</dc:creator>
  <cp:keywords/>
  <dc:description/>
  <cp:lastModifiedBy>ГОРОДЕЦЬКИЙ Вадим Вікторович</cp:lastModifiedBy>
  <cp:revision>3</cp:revision>
  <dcterms:created xsi:type="dcterms:W3CDTF">2025-07-25T09:20:00Z</dcterms:created>
  <dcterms:modified xsi:type="dcterms:W3CDTF">2025-07-25T09:27:00Z</dcterms:modified>
</cp:coreProperties>
</file>