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AE593F" w:rsidP="00255FDB">
      <w:pPr>
        <w:jc w:val="center"/>
        <w:rPr>
          <w:b/>
          <w:bCs/>
          <w:sz w:val="24"/>
          <w:szCs w:val="24"/>
        </w:rPr>
      </w:pPr>
      <w:r w:rsidRPr="00AE593F">
        <w:rPr>
          <w:b/>
          <w:bCs/>
          <w:sz w:val="24"/>
          <w:szCs w:val="24"/>
        </w:rPr>
        <w:t>Послуги з періодичного технічного огляду ліфтів, експертного обстеження та позачергового технічного огляду ліфта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57A85">
        <w:rPr>
          <w:b/>
          <w:bCs/>
          <w:sz w:val="24"/>
          <w:szCs w:val="24"/>
        </w:rPr>
        <w:t xml:space="preserve">50750000-7 </w:t>
      </w:r>
      <w:r>
        <w:rPr>
          <w:b/>
          <w:bCs/>
          <w:sz w:val="24"/>
          <w:szCs w:val="24"/>
        </w:rPr>
        <w:t>«</w:t>
      </w:r>
      <w:r w:rsidRPr="00F57A85">
        <w:rPr>
          <w:b/>
          <w:bCs/>
          <w:sz w:val="24"/>
          <w:szCs w:val="24"/>
        </w:rPr>
        <w:t>Послуги з технічного обслуговування ліфтів»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Default="00255FDB" w:rsidP="00255FD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784F52" w:rsidRPr="00255FDB">
        <w:rPr>
          <w:sz w:val="24"/>
          <w:szCs w:val="24"/>
        </w:rPr>
        <w:t xml:space="preserve">з метою </w:t>
      </w:r>
      <w:r w:rsidR="00AE593F">
        <w:rPr>
          <w:sz w:val="24"/>
          <w:szCs w:val="24"/>
        </w:rPr>
        <w:t>контролю безпечності</w:t>
      </w:r>
      <w:bookmarkStart w:id="0" w:name="_GoBack"/>
      <w:bookmarkEnd w:id="0"/>
      <w:r w:rsidR="00784F52">
        <w:rPr>
          <w:sz w:val="24"/>
          <w:szCs w:val="24"/>
        </w:rPr>
        <w:t xml:space="preserve"> експлуатаці</w:t>
      </w:r>
      <w:r w:rsidR="00AE593F">
        <w:rPr>
          <w:sz w:val="24"/>
          <w:szCs w:val="24"/>
        </w:rPr>
        <w:t>ї</w:t>
      </w:r>
      <w:r w:rsidR="00784F52">
        <w:rPr>
          <w:sz w:val="24"/>
          <w:szCs w:val="24"/>
        </w:rPr>
        <w:t xml:space="preserve"> </w:t>
      </w:r>
      <w:r w:rsidR="00784F52" w:rsidRPr="00255FDB">
        <w:rPr>
          <w:sz w:val="24"/>
          <w:szCs w:val="24"/>
        </w:rPr>
        <w:t>ліфт</w:t>
      </w:r>
      <w:r w:rsidR="00AE593F">
        <w:rPr>
          <w:sz w:val="24"/>
          <w:szCs w:val="24"/>
        </w:rPr>
        <w:t>ів</w:t>
      </w:r>
      <w:r w:rsidR="00784F52" w:rsidRPr="00255FDB">
        <w:rPr>
          <w:sz w:val="24"/>
          <w:szCs w:val="24"/>
        </w:rPr>
        <w:t xml:space="preserve"> </w:t>
      </w:r>
      <w:r w:rsidR="00784F52">
        <w:rPr>
          <w:sz w:val="24"/>
          <w:szCs w:val="24"/>
        </w:rPr>
        <w:t xml:space="preserve">в </w:t>
      </w:r>
      <w:proofErr w:type="spellStart"/>
      <w:r w:rsidR="00784F52" w:rsidRPr="00255FDB">
        <w:rPr>
          <w:sz w:val="24"/>
          <w:szCs w:val="24"/>
        </w:rPr>
        <w:t>адмінбудів</w:t>
      </w:r>
      <w:r w:rsidR="00784F52">
        <w:rPr>
          <w:sz w:val="24"/>
          <w:szCs w:val="24"/>
        </w:rPr>
        <w:t>л</w:t>
      </w:r>
      <w:r w:rsidR="00AE593F">
        <w:rPr>
          <w:sz w:val="24"/>
          <w:szCs w:val="24"/>
        </w:rPr>
        <w:t>ях</w:t>
      </w:r>
      <w:proofErr w:type="spellEnd"/>
      <w:r w:rsidR="00AE593F">
        <w:rPr>
          <w:sz w:val="24"/>
          <w:szCs w:val="24"/>
        </w:rPr>
        <w:t xml:space="preserve"> за адресою:</w:t>
      </w:r>
      <w:r w:rsidR="00784F52" w:rsidRPr="00255FDB">
        <w:rPr>
          <w:sz w:val="24"/>
          <w:szCs w:val="24"/>
        </w:rPr>
        <w:t xml:space="preserve"> </w:t>
      </w:r>
      <w:r w:rsidR="00AE593F">
        <w:rPr>
          <w:sz w:val="24"/>
          <w:szCs w:val="24"/>
        </w:rPr>
        <w:t xml:space="preserve">м. Київ, вул. Грушевського 12/2, </w:t>
      </w:r>
      <w:r w:rsidR="00784F52" w:rsidRPr="00255FDB">
        <w:rPr>
          <w:sz w:val="24"/>
          <w:szCs w:val="24"/>
        </w:rPr>
        <w:t>м. Київ, вул. Хрещатик 34</w:t>
      </w:r>
      <w:r w:rsidR="00784F52">
        <w:rPr>
          <w:sz w:val="24"/>
          <w:szCs w:val="24"/>
        </w:rPr>
        <w:t xml:space="preserve"> відділом експлуатації ліфтів УАБ ГФД КМУ </w:t>
      </w:r>
      <w:r>
        <w:rPr>
          <w:sz w:val="24"/>
          <w:szCs w:val="24"/>
        </w:rPr>
        <w:t>в</w:t>
      </w:r>
      <w:r w:rsidRPr="00255FDB">
        <w:rPr>
          <w:sz w:val="24"/>
          <w:szCs w:val="24"/>
        </w:rPr>
        <w:t xml:space="preserve">ідповідно до </w:t>
      </w:r>
      <w:r w:rsidR="00784F52" w:rsidRPr="00784F52">
        <w:rPr>
          <w:sz w:val="24"/>
          <w:szCs w:val="24"/>
        </w:rPr>
        <w:t xml:space="preserve">Порядку проведення огляду, випробування та експертного обстеження (технічного діагностування) машин, механізмів, устаткування підвищеної небезпеки», затвердженого постановою Кабінету Міністрів України від 26.05.2004 № 687 та НПАОП 0.00-1.02-08 «Правила будови i безпечної експлуатації ліфтів», затверджений наказом </w:t>
      </w:r>
      <w:proofErr w:type="spellStart"/>
      <w:r w:rsidR="00784F52" w:rsidRPr="00784F52">
        <w:rPr>
          <w:sz w:val="24"/>
          <w:szCs w:val="24"/>
        </w:rPr>
        <w:t>Держгiрпромнагляду</w:t>
      </w:r>
      <w:proofErr w:type="spellEnd"/>
      <w:r w:rsidR="00784F52" w:rsidRPr="00784F52">
        <w:rPr>
          <w:sz w:val="24"/>
          <w:szCs w:val="24"/>
        </w:rPr>
        <w:t xml:space="preserve"> від 01.09.2008 №190 (ПББЕЛ)</w:t>
      </w:r>
      <w:r w:rsidRPr="0013655B">
        <w:rPr>
          <w:sz w:val="24"/>
          <w:szCs w:val="24"/>
        </w:rPr>
        <w:t>.</w:t>
      </w: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Pr="0013655B" w:rsidRDefault="00255FDB" w:rsidP="00784F52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AE593F" w:rsidRPr="00AE593F">
        <w:rPr>
          <w:sz w:val="24"/>
          <w:szCs w:val="24"/>
        </w:rPr>
        <w:t>UA-2025-04-11-010193-a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відділу експлуатації ліфтів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AE593F" w:rsidRPr="00AE593F">
        <w:rPr>
          <w:sz w:val="24"/>
          <w:szCs w:val="24"/>
        </w:rPr>
        <w:t>36 367</w:t>
      </w:r>
      <w:r w:rsidR="00784F52" w:rsidRPr="00784F52">
        <w:rPr>
          <w:sz w:val="24"/>
          <w:szCs w:val="24"/>
        </w:rPr>
        <w:t>,</w:t>
      </w:r>
      <w:r w:rsidR="00AE593F">
        <w:rPr>
          <w:sz w:val="24"/>
          <w:szCs w:val="24"/>
        </w:rPr>
        <w:t>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84F52">
      <w:pgSz w:w="11906" w:h="16838"/>
      <w:pgMar w:top="450" w:right="991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84F52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593F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166F7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D81F-1F8A-496D-8F91-2FB2DBA1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2025-01-28T09:03:00Z</dcterms:created>
  <dcterms:modified xsi:type="dcterms:W3CDTF">2025-04-14T08:23:00Z</dcterms:modified>
</cp:coreProperties>
</file>