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4655A3" w:rsidP="00F822B9">
      <w:pPr>
        <w:jc w:val="center"/>
        <w:rPr>
          <w:b/>
          <w:bCs/>
          <w:sz w:val="24"/>
          <w:szCs w:val="24"/>
        </w:rPr>
      </w:pPr>
      <w:r w:rsidRPr="004655A3">
        <w:rPr>
          <w:b/>
          <w:bCs/>
          <w:sz w:val="24"/>
          <w:szCs w:val="24"/>
        </w:rPr>
        <w:t>Знаряддя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655A3" w:rsidRPr="004655A3">
        <w:rPr>
          <w:b/>
          <w:bCs/>
          <w:sz w:val="24"/>
          <w:szCs w:val="24"/>
        </w:rPr>
        <w:t xml:space="preserve">44510000-8 </w:t>
      </w:r>
      <w:r w:rsidR="004655A3">
        <w:rPr>
          <w:b/>
          <w:bCs/>
          <w:sz w:val="24"/>
          <w:szCs w:val="24"/>
        </w:rPr>
        <w:t>«</w:t>
      </w:r>
      <w:r w:rsidR="004655A3" w:rsidRPr="004655A3">
        <w:rPr>
          <w:b/>
          <w:bCs/>
          <w:sz w:val="24"/>
          <w:szCs w:val="24"/>
        </w:rPr>
        <w:t>Знаряддя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655A3" w:rsidRPr="004655A3">
        <w:rPr>
          <w:sz w:val="26"/>
          <w:szCs w:val="26"/>
          <w:u w:val="single"/>
        </w:rPr>
        <w:t>UA-2024-12-07-001322-a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>етою</w:t>
      </w:r>
      <w:r w:rsidR="004655A3">
        <w:rPr>
          <w:sz w:val="26"/>
          <w:szCs w:val="26"/>
        </w:rPr>
        <w:t xml:space="preserve"> забезпечення інструментами працівників для</w:t>
      </w:r>
      <w:bookmarkStart w:id="0" w:name="_GoBack"/>
      <w:bookmarkEnd w:id="0"/>
      <w:r w:rsidR="00F6655E" w:rsidRPr="006E42D1">
        <w:rPr>
          <w:sz w:val="26"/>
          <w:szCs w:val="26"/>
        </w:rPr>
        <w:t xml:space="preserve"> </w:t>
      </w:r>
      <w:r w:rsidR="003F7E24">
        <w:rPr>
          <w:sz w:val="26"/>
          <w:szCs w:val="26"/>
        </w:rPr>
        <w:t xml:space="preserve">проведення поточних ремонтів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655A3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1661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9E7E-C9EB-49F4-A805-4B719DC9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2024-11-21T11:58:00Z</dcterms:created>
  <dcterms:modified xsi:type="dcterms:W3CDTF">2024-12-12T08:37:00Z</dcterms:modified>
</cp:coreProperties>
</file>