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Pr="00BD0381" w:rsidRDefault="004C21C7" w:rsidP="00BD0381">
      <w:pPr>
        <w:jc w:val="center"/>
        <w:rPr>
          <w:b/>
          <w:bCs/>
          <w:sz w:val="24"/>
          <w:szCs w:val="24"/>
        </w:rPr>
      </w:pPr>
      <w:r w:rsidRPr="004C21C7">
        <w:rPr>
          <w:b/>
          <w:bCs/>
          <w:sz w:val="24"/>
          <w:szCs w:val="24"/>
        </w:rPr>
        <w:t>Лампи в асортименті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4C21C7" w:rsidRPr="004C21C7">
        <w:rPr>
          <w:b/>
          <w:bCs/>
          <w:sz w:val="24"/>
          <w:szCs w:val="24"/>
        </w:rPr>
        <w:t xml:space="preserve">31530000-0 </w:t>
      </w:r>
      <w:r w:rsidR="004C21C7">
        <w:rPr>
          <w:b/>
          <w:bCs/>
          <w:sz w:val="24"/>
          <w:szCs w:val="24"/>
        </w:rPr>
        <w:t>«</w:t>
      </w:r>
      <w:bookmarkStart w:id="0" w:name="_GoBack"/>
      <w:bookmarkEnd w:id="0"/>
      <w:r w:rsidR="004C21C7" w:rsidRPr="004C21C7">
        <w:rPr>
          <w:b/>
          <w:bCs/>
          <w:sz w:val="24"/>
          <w:szCs w:val="24"/>
        </w:rPr>
        <w:t>Частини до світильників та освітлювального обладнання</w:t>
      </w:r>
      <w:r w:rsidR="00BD0381" w:rsidRPr="00BD0381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4C21C7" w:rsidRPr="004C21C7">
        <w:rPr>
          <w:sz w:val="26"/>
          <w:szCs w:val="26"/>
          <w:u w:val="single"/>
        </w:rPr>
        <w:t>UA-2024-11-07-012502-a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BD0381">
        <w:rPr>
          <w:sz w:val="26"/>
          <w:szCs w:val="26"/>
        </w:rPr>
        <w:t>належного утримання</w:t>
      </w:r>
      <w:r w:rsidR="003F7E24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C21C7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0381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1CAD2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AB4E-81C0-4447-9495-3005A9CC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2022-02-16T14:32:00Z</cp:lastPrinted>
  <dcterms:created xsi:type="dcterms:W3CDTF">2024-11-21T11:58:00Z</dcterms:created>
  <dcterms:modified xsi:type="dcterms:W3CDTF">2024-11-21T12:25:00Z</dcterms:modified>
</cp:coreProperties>
</file>